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75F021" w14:textId="77777777" w:rsidR="00462EBE" w:rsidRPr="00462EBE" w:rsidRDefault="00462EBE" w:rsidP="00462EBE">
      <w:pPr>
        <w:jc w:val="center"/>
        <w:rPr>
          <w:b/>
          <w:bCs/>
        </w:rPr>
      </w:pPr>
      <w:r w:rsidRPr="00462EBE">
        <w:rPr>
          <w:b/>
          <w:bCs/>
        </w:rPr>
        <w:t>Art. 11-bis (Aree idonee su terraferma).</w:t>
      </w:r>
    </w:p>
    <w:p w14:paraId="4A1B8D10" w14:textId="77777777" w:rsidR="00462EBE" w:rsidRDefault="00462EBE" w:rsidP="00462EBE"/>
    <w:p w14:paraId="3B89D012" w14:textId="64025FA1" w:rsidR="00462EBE" w:rsidRDefault="00462EBE" w:rsidP="00462EBE">
      <w:r>
        <w:t>1. Fermo restando quanto previsto all'articolo 11-ter, sono considerate aree idonee all'installazione di impianti da fonti rinnovabili:</w:t>
      </w:r>
    </w:p>
    <w:p w14:paraId="31001137" w14:textId="77777777" w:rsidR="00462EBE" w:rsidRDefault="00462EBE" w:rsidP="00462EBE">
      <w:r>
        <w:t xml:space="preserve">a) i siti ove sono </w:t>
      </w:r>
      <w:proofErr w:type="spellStart"/>
      <w:r>
        <w:t>gia'</w:t>
      </w:r>
      <w:proofErr w:type="spellEnd"/>
      <w:r>
        <w:t xml:space="preserve"> installati impianti della stessa fonte e in cui vengono realizzati interventi di modifica, anche sostanziale, per rifacimento, potenziamento o integrale ricostruzione, eventualmente abbinati a sistemi di accumulo, che non comportino una variazione dell'area occupata superiore al 20 per cento, fatto salvo quanto previsto dal Codice dei beni culturali e del paesaggio in materia di autorizzazioni culturali e paesaggistiche per le nuove aree occupate. La variazione dell'area di cui al primo periodo non </w:t>
      </w:r>
      <w:proofErr w:type="spellStart"/>
      <w:proofErr w:type="gramStart"/>
      <w:r>
        <w:t>e'</w:t>
      </w:r>
      <w:proofErr w:type="spellEnd"/>
      <w:proofErr w:type="gramEnd"/>
      <w:r>
        <w:t xml:space="preserve"> consentita per gli impianti fotovoltaici a terra installati in aree agricole;</w:t>
      </w:r>
    </w:p>
    <w:p w14:paraId="6AA13A2D" w14:textId="77777777" w:rsidR="00462EBE" w:rsidRDefault="00462EBE" w:rsidP="00462EBE">
      <w:r>
        <w:t>b) le aree dei siti oggetto di bonifica individuate ai sensi del titolo V della parte quarta del decreto legislativo 3 aprile 2006, n. 152;</w:t>
      </w:r>
    </w:p>
    <w:p w14:paraId="4641D053" w14:textId="77777777" w:rsidR="00462EBE" w:rsidRDefault="00462EBE" w:rsidP="00462EBE">
      <w:r>
        <w:t>c) le cave e le miniere cessate, non recuperate o abbandonate o in condizioni di degrado ambientale, o le porzioni di cave e miniere non suscettibili di ulteriore sfruttamento;</w:t>
      </w:r>
    </w:p>
    <w:p w14:paraId="65E1E348" w14:textId="77777777" w:rsidR="00462EBE" w:rsidRDefault="00462EBE" w:rsidP="00462EBE">
      <w:r>
        <w:t>d) le discariche o i lotti di discarica chiusi ovvero ripristinati;</w:t>
      </w:r>
    </w:p>
    <w:p w14:paraId="25D926E9" w14:textId="77777777" w:rsidR="00462EBE" w:rsidRDefault="00462EBE" w:rsidP="00462EBE">
      <w:r>
        <w:t xml:space="preserve">e) i siti e gli impianti nelle </w:t>
      </w:r>
      <w:proofErr w:type="spellStart"/>
      <w:r>
        <w:t>disponibilita'</w:t>
      </w:r>
      <w:proofErr w:type="spellEnd"/>
      <w:r>
        <w:t xml:space="preserve"> delle </w:t>
      </w:r>
      <w:proofErr w:type="spellStart"/>
      <w:r>
        <w:t>societa'</w:t>
      </w:r>
      <w:proofErr w:type="spellEnd"/>
      <w:r>
        <w:t xml:space="preserve"> del gruppo Ferrovie dello Stato italiane e dei gestori di infrastrutture ferroviarie, </w:t>
      </w:r>
      <w:proofErr w:type="spellStart"/>
      <w:r>
        <w:t>nonche</w:t>
      </w:r>
      <w:proofErr w:type="spellEnd"/>
      <w:r>
        <w:t xml:space="preserve">' delle </w:t>
      </w:r>
      <w:proofErr w:type="spellStart"/>
      <w:r>
        <w:t>societa'</w:t>
      </w:r>
      <w:proofErr w:type="spellEnd"/>
      <w:r>
        <w:t xml:space="preserve"> concessionarie autostradali;</w:t>
      </w:r>
    </w:p>
    <w:p w14:paraId="16B685C0" w14:textId="77777777" w:rsidR="00462EBE" w:rsidRDefault="00462EBE" w:rsidP="00462EBE">
      <w:r>
        <w:t xml:space="preserve">f) i siti e gli impianti nella </w:t>
      </w:r>
      <w:proofErr w:type="spellStart"/>
      <w:r>
        <w:t>disponibilita'</w:t>
      </w:r>
      <w:proofErr w:type="spellEnd"/>
      <w:r>
        <w:t xml:space="preserve"> delle </w:t>
      </w:r>
      <w:proofErr w:type="spellStart"/>
      <w:r>
        <w:t>societa'</w:t>
      </w:r>
      <w:proofErr w:type="spellEnd"/>
      <w:r>
        <w:t xml:space="preserve"> di gestione aeroportuale all'interno dei sedimi aeroportuali, ivi inclusi quelli all'interno del perimetro di pertinenza degli aeroporti delle isole minori di cui all'allegato 1 al decreto del Ministro dello sviluppo economico 14 febbraio 2017, pubblicato nella Gazzetta Ufficiale n. 114 del 18 maggio 2017, ferme restando le necessarie verifiche tecniche da parte dell'Ente nazionale per l'aviazione civile;</w:t>
      </w:r>
    </w:p>
    <w:p w14:paraId="7335C6B4" w14:textId="77777777" w:rsidR="00462EBE" w:rsidRDefault="00462EBE" w:rsidP="00462EBE">
      <w:r>
        <w:t xml:space="preserve">g) i beni del demanio militare o a qualunque titolo in uso al Ministero della difesa di cui all'articolo 20 del decreto-legge 1° marzo 2022, n. 17, convertito, con modificazioni, dalla legge 27 aprile 2022, n. 34, per le </w:t>
      </w:r>
      <w:proofErr w:type="spellStart"/>
      <w:r>
        <w:t>finalita'</w:t>
      </w:r>
      <w:proofErr w:type="spellEnd"/>
      <w:r>
        <w:t xml:space="preserve"> ivi previste;</w:t>
      </w:r>
    </w:p>
    <w:p w14:paraId="7114CAD1" w14:textId="77777777" w:rsidR="00462EBE" w:rsidRDefault="00462EBE" w:rsidP="00462EBE">
      <w:r>
        <w:t>h) i beni del demanio o a qualunque titolo in uso al Ministero dell'interno, al Ministero della giustizia e agli uffici giudiziari, di cui all'articolo 10 del decreto-legge 23 settembre 2022, n. 144, convertito, con modificazioni, dalla legge 17 novembre 2022, n. 175;</w:t>
      </w:r>
    </w:p>
    <w:p w14:paraId="45B5B5A0" w14:textId="77777777" w:rsidR="00462EBE" w:rsidRDefault="00462EBE" w:rsidP="00462EBE">
      <w:r>
        <w:t xml:space="preserve">i) i beni immobili, individuati dall'Agenzia del demanio, sentito il Ministero dell'economia e delle finanze, di </w:t>
      </w:r>
      <w:proofErr w:type="spellStart"/>
      <w:r>
        <w:t>proprieta'</w:t>
      </w:r>
      <w:proofErr w:type="spellEnd"/>
      <w:r>
        <w:t xml:space="preserve"> dello Stato, non contemplati in programmi di valorizzazione o dismissione di propria competenza, </w:t>
      </w:r>
      <w:proofErr w:type="spellStart"/>
      <w:r>
        <w:t>nonche</w:t>
      </w:r>
      <w:proofErr w:type="spellEnd"/>
      <w:r>
        <w:t>' i beni statali individuati dalla medesima Agenzia di concerto con le amministrazioni usuarie, in uso alle stesse, ai sensi dell'articolo 16 del decreto-legge 24 febbraio 2023, n. 13, convertito, con modificazioni, dalla legge 21 aprile 2023, n. 41;</w:t>
      </w:r>
    </w:p>
    <w:p w14:paraId="6705A525" w14:textId="77777777" w:rsidR="00462EBE" w:rsidRDefault="00462EBE" w:rsidP="00462EBE">
      <w:r>
        <w:lastRenderedPageBreak/>
        <w:t>l) per gli impianti fotovoltaici, in aggiunta alle aree di cui alle lettere a), b), c), d), e), f), g), h) e i):</w:t>
      </w:r>
    </w:p>
    <w:p w14:paraId="5E9D7D77" w14:textId="77777777" w:rsidR="00462EBE" w:rsidRDefault="00462EBE" w:rsidP="00462EBE">
      <w:r>
        <w:t xml:space="preserve">1) le aree interne agli stabilimenti e agli impianti industriali, non destinati alla produzione agricola, di cui all'articolo 268, comma 1, lettere h), e l), del decreto legislativo n. 152 del 2006, sottoposti ad autorizzazione integrata ambientale ai sensi del titolo III-bis della parte seconda del medesimo decreto, </w:t>
      </w:r>
      <w:proofErr w:type="spellStart"/>
      <w:r>
        <w:t>nonche</w:t>
      </w:r>
      <w:proofErr w:type="spellEnd"/>
      <w:r>
        <w:t xml:space="preserve">' le aree classificate agricole racchiuse in un perimetro i cui punti distino non </w:t>
      </w:r>
      <w:proofErr w:type="spellStart"/>
      <w:r>
        <w:t>piu'</w:t>
      </w:r>
      <w:proofErr w:type="spellEnd"/>
      <w:r>
        <w:t xml:space="preserve"> di 350 metri dal medesimo impianto o stabilimento;</w:t>
      </w:r>
    </w:p>
    <w:p w14:paraId="5AE33630" w14:textId="77777777" w:rsidR="00462EBE" w:rsidRDefault="00462EBE" w:rsidP="00462EBE">
      <w:r>
        <w:t>2) le aree adiacenti alla rete autostradale entro una distanza non superiore a 300 metri;</w:t>
      </w:r>
    </w:p>
    <w:p w14:paraId="59A2C838" w14:textId="77777777" w:rsidR="00462EBE" w:rsidRDefault="00462EBE" w:rsidP="00462EBE">
      <w:r>
        <w:t>3) gli edifici e le strutture edificate e relative superfici esterne pertinenziali;</w:t>
      </w:r>
    </w:p>
    <w:p w14:paraId="54E8050D" w14:textId="77777777" w:rsidR="00462EBE" w:rsidRDefault="00462EBE" w:rsidP="00462EBE">
      <w:r>
        <w:t>4) le aree a destinazione industriale, direzionale, artigianale, commerciale, ovvero destinate alla logistica o all'insediamento di centri di elaborazione dati;</w:t>
      </w:r>
    </w:p>
    <w:p w14:paraId="6416B576" w14:textId="77777777" w:rsidR="00462EBE" w:rsidRDefault="00462EBE" w:rsidP="00462EBE">
      <w:r>
        <w:t>5) le aree adibite a parcheggi, limitatamente alle strutture di copertura;</w:t>
      </w:r>
    </w:p>
    <w:p w14:paraId="563C65BA" w14:textId="77777777" w:rsidR="00462EBE" w:rsidRDefault="00462EBE" w:rsidP="00462EBE">
      <w:r>
        <w:t>6) gli invasi idrici, i laghi di cave e le miniere dismesse o in condizioni di degrado ambientale;</w:t>
      </w:r>
    </w:p>
    <w:p w14:paraId="6617860E" w14:textId="77777777" w:rsidR="00462EBE" w:rsidRDefault="00462EBE" w:rsidP="00462EBE">
      <w:r>
        <w:t>7) gli impianti e le relative aree di pertinenza ricadenti nel perimetro di competenza del servizio idrico integrato;</w:t>
      </w:r>
    </w:p>
    <w:p w14:paraId="2F7EC019" w14:textId="77777777" w:rsidR="00462EBE" w:rsidRDefault="00462EBE" w:rsidP="00462EBE">
      <w:r>
        <w:t>m) per gli impianti di produzione di biometano, in aggiunta alle aree di cui alle lettere a), b), c), d), e), f), g), h) e i):</w:t>
      </w:r>
    </w:p>
    <w:p w14:paraId="2C9C3FF9" w14:textId="77777777" w:rsidR="00462EBE" w:rsidRDefault="00462EBE" w:rsidP="00462EBE">
      <w:r>
        <w:t xml:space="preserve">1) le aree classificate agricole racchiuse in un perimetro i cui punti distano non </w:t>
      </w:r>
      <w:proofErr w:type="spellStart"/>
      <w:r>
        <w:t>piu'</w:t>
      </w:r>
      <w:proofErr w:type="spellEnd"/>
      <w:r>
        <w:t xml:space="preserve"> di 500 metri da zone a destinazione industriale, artigianale e commerciale, compresi i siti di interesse nazionale;</w:t>
      </w:r>
    </w:p>
    <w:p w14:paraId="014EF27A" w14:textId="77777777" w:rsidR="00462EBE" w:rsidRDefault="00462EBE" w:rsidP="00462EBE">
      <w:r>
        <w:t xml:space="preserve">2) le aree interne agli stabilimenti e agli impianti industriali di cui all'articolo 268, comma 1, lettere h), e l), del decreto legislativo n. 152 del 2006, sottoposti ad autorizzazione integrata ambientale ai sensi del titolo III-bis della parte seconda del medesimo decreto, </w:t>
      </w:r>
      <w:proofErr w:type="spellStart"/>
      <w:r>
        <w:t>nonche</w:t>
      </w:r>
      <w:proofErr w:type="spellEnd"/>
      <w:r>
        <w:t xml:space="preserve">' le aree classificate agricole racchiuse in un perimetro i cui punti distino non </w:t>
      </w:r>
      <w:proofErr w:type="spellStart"/>
      <w:r>
        <w:t>piu'</w:t>
      </w:r>
      <w:proofErr w:type="spellEnd"/>
      <w:r>
        <w:t xml:space="preserve"> di 500 metri dal medesimo impianto o stabilimento;</w:t>
      </w:r>
    </w:p>
    <w:p w14:paraId="4CB8DC94" w14:textId="77777777" w:rsidR="00462EBE" w:rsidRDefault="00462EBE" w:rsidP="00462EBE">
      <w:r>
        <w:t>3) le aree adiacenti alla rete autostradale entro una distanza non superiore a 300 metri.</w:t>
      </w:r>
    </w:p>
    <w:p w14:paraId="6C5FD4DD" w14:textId="77777777" w:rsidR="00462EBE" w:rsidRDefault="00462EBE" w:rsidP="00462EBE"/>
    <w:p w14:paraId="54A317EA" w14:textId="77777777" w:rsidR="00462EBE" w:rsidRDefault="00462EBE" w:rsidP="00462EBE"/>
    <w:p w14:paraId="6AF304B0" w14:textId="337618D3" w:rsidR="00462EBE" w:rsidRDefault="00462EBE" w:rsidP="00462EBE">
      <w:r>
        <w:t xml:space="preserve">2. L'installazione degli impianti fotovoltaici con moduli collocati a terra, in zone classificate agricole dai piani urbanistici vigenti, </w:t>
      </w:r>
      <w:proofErr w:type="spellStart"/>
      <w:proofErr w:type="gramStart"/>
      <w:r>
        <w:t>e'</w:t>
      </w:r>
      <w:proofErr w:type="spellEnd"/>
      <w:proofErr w:type="gramEnd"/>
      <w:r>
        <w:t xml:space="preserve"> consentita esclusivamente nelle aree di cui al comma 1, lettere a), limitatamente agli interventi per modifica, rifacimento, potenziamento o integrale ricostruzione degli impianti </w:t>
      </w:r>
      <w:proofErr w:type="spellStart"/>
      <w:r>
        <w:t>gia'</w:t>
      </w:r>
      <w:proofErr w:type="spellEnd"/>
      <w:r>
        <w:t xml:space="preserve"> installati, a condizione che non comportino incremento dell'area occupata, c), d), e), f), l), numeri 1) e 2). Il primo periodo non si applica nel caso di progetti che prevedano impianti fotovoltaici con moduli collocati a terra finalizzati alla costituzione di una </w:t>
      </w:r>
      <w:proofErr w:type="spellStart"/>
      <w:r>
        <w:t>comunita'</w:t>
      </w:r>
      <w:proofErr w:type="spellEnd"/>
      <w:r>
        <w:t xml:space="preserve"> energetica rinnovabile ai sensi dell'articolo 31 del decreto </w:t>
      </w:r>
      <w:r>
        <w:lastRenderedPageBreak/>
        <w:t xml:space="preserve">legislativo n. 199 del 2021, </w:t>
      </w:r>
      <w:proofErr w:type="spellStart"/>
      <w:r>
        <w:t>nonche</w:t>
      </w:r>
      <w:proofErr w:type="spellEnd"/>
      <w:r>
        <w:t xml:space="preserve">' in caso di progetti attuativi delle altre misure di investimento del Piano Nazionale di Ripresa e Resilienza (PNRR), approvato con decisione del Consiglio ECOFIN del 13 luglio 2021, come modificato con decisione del Consiglio ECOFIN dell'8 dicembre 2023, e del Piano nazionale per gli investimenti complementari al PNRR (PNC) di cui all'articolo 1 del decreto-legge 6 maggio 2021, n. 59, convertito, con modificazioni, dalla legge 1° luglio 2021, n. 101, ovvero di progetti necessari per il conseguimento degli obiettivi del PNRR. </w:t>
      </w:r>
      <w:proofErr w:type="gramStart"/>
      <w:r>
        <w:t>E'</w:t>
      </w:r>
      <w:proofErr w:type="gramEnd"/>
      <w:r>
        <w:t xml:space="preserve"> comunque sempre consentita l'installazione di impianti agrivoltaici di cui all'articolo 4, comma 1, lettera f-bis), attraverso l'impiego di moduli collocati in posizione adeguatamente elevata da terra.</w:t>
      </w:r>
    </w:p>
    <w:p w14:paraId="1E8CF9AB" w14:textId="77777777" w:rsidR="00462EBE" w:rsidRDefault="00462EBE" w:rsidP="00462EBE"/>
    <w:p w14:paraId="0807C0F6" w14:textId="2152DB8E" w:rsidR="00462EBE" w:rsidRDefault="00462EBE" w:rsidP="00462EBE">
      <w:r>
        <w:t>3. Entro centoventi giorni dalla data di entrata in vigore della presente disposizione, ciascuna regione e provincia autonoma individua, con propria legge, aree idonee all'installazione di impianti da fonti rinnovabili, ulteriori rispetto a quelle di cui al comma 1, nel rispetto dei principi e dei criteri stabiliti ai sensi del comma 4 e degli obiettivi stabiliti ai sensi del comma 5. Il Dipartimento per gli affari regionali e le autonomie della Presidenza del Consiglio dei ministri esercita funzioni di impulso anche ai fini dell'esercizio del potere di cui al terzo periodo. Nel caso di mancata adozione della legge di cui al primo periodo entro il termine ivi previsto ovvero di mancata ottemperanza ai principi e ai criteri di cui al comma 4 ovvero agli obiettivi di cui al comma 5, si applica l'articolo 41 della legge 24 dicembre 2012, n. 234. Le province autonome provvedono al processo programmatorio di individuazione delle aree idonee ai sensi dello Statuto speciale e delle relative norme di attuazione.</w:t>
      </w:r>
    </w:p>
    <w:p w14:paraId="6E08F1E3" w14:textId="77777777" w:rsidR="00462EBE" w:rsidRDefault="00462EBE" w:rsidP="00462EBE"/>
    <w:p w14:paraId="2C825BEF" w14:textId="40AAA857" w:rsidR="00462EBE" w:rsidRDefault="00462EBE" w:rsidP="00462EBE">
      <w:r>
        <w:t>4. Ai fini dell'adozione delle leggi ai sensi del comma 3, le regioni e le province autonome tengono conto dei seguenti principi e criteri:</w:t>
      </w:r>
    </w:p>
    <w:p w14:paraId="200DAD01" w14:textId="77777777" w:rsidR="00462EBE" w:rsidRDefault="00462EBE" w:rsidP="00462EBE">
      <w:r>
        <w:t xml:space="preserve">a) tutelare il patrimonio culturale e il paesaggio, la </w:t>
      </w:r>
      <w:proofErr w:type="spellStart"/>
      <w:r>
        <w:t>qualita'</w:t>
      </w:r>
      <w:proofErr w:type="spellEnd"/>
      <w:r>
        <w:t xml:space="preserve"> dell'aria e dei corpi idrici, le aree agricole, con particolare riguardo a quelle di pregio, e forestali;</w:t>
      </w:r>
    </w:p>
    <w:p w14:paraId="47B2B649" w14:textId="77777777" w:rsidR="00462EBE" w:rsidRDefault="00462EBE" w:rsidP="00462EBE">
      <w:r>
        <w:t xml:space="preserve">b) salvaguardare le </w:t>
      </w:r>
      <w:proofErr w:type="spellStart"/>
      <w:r>
        <w:t>specificita'</w:t>
      </w:r>
      <w:proofErr w:type="spellEnd"/>
      <w:r>
        <w:t xml:space="preserve"> delle aree incluse nella Rete Natura 2000 e delle aree naturali protette, delle zone umide di importanza internazionale ai sensi della Convenzione di Ramsar, delle zone di protezione dei siti UNESCO, in </w:t>
      </w:r>
      <w:proofErr w:type="spellStart"/>
      <w:r>
        <w:t>conformita'</w:t>
      </w:r>
      <w:proofErr w:type="spellEnd"/>
      <w:r>
        <w:t xml:space="preserve"> a quanto previsto dall'articolo 11-quinquies;</w:t>
      </w:r>
    </w:p>
    <w:p w14:paraId="2E07EDD4" w14:textId="77777777" w:rsidR="00462EBE" w:rsidRDefault="00462EBE" w:rsidP="00462EBE">
      <w:r>
        <w:t xml:space="preserve">c) la qualificazione di un'area come idonea </w:t>
      </w:r>
      <w:proofErr w:type="spellStart"/>
      <w:r>
        <w:t>puo'</w:t>
      </w:r>
      <w:proofErr w:type="spellEnd"/>
      <w:r>
        <w:t xml:space="preserve"> dipendere dalla fattispecie tecnologica di impianto a fonte rinnovabile o dalla potenza di un determinato impianto;</w:t>
      </w:r>
    </w:p>
    <w:p w14:paraId="013BB9A8" w14:textId="77777777" w:rsidR="00462EBE" w:rsidRDefault="00462EBE" w:rsidP="00462EBE">
      <w:r>
        <w:t xml:space="preserve">d) </w:t>
      </w:r>
      <w:proofErr w:type="spellStart"/>
      <w:r>
        <w:t>impossibilita'</w:t>
      </w:r>
      <w:proofErr w:type="spellEnd"/>
      <w:r>
        <w:t xml:space="preserve"> di prevedere divieti generali e astratti all'installazione di impianti a fonti rinnovabili, fermo restando quanto previsto dal comma 2 del presente articolo e dall'articolo 11-quinquies del presente decreto;</w:t>
      </w:r>
    </w:p>
    <w:p w14:paraId="6B4E1B20" w14:textId="77777777" w:rsidR="00462EBE" w:rsidRDefault="00462EBE" w:rsidP="00462EBE">
      <w:r>
        <w:lastRenderedPageBreak/>
        <w:t>e) qualificare prioritariamente come aree idonee le superfici e le strutture edificate o caratterizzate dall'impermeabilizzazione del suolo, anche al fine di favorire l'autoconsumo individuale e collettivo;</w:t>
      </w:r>
    </w:p>
    <w:p w14:paraId="2E738434" w14:textId="77777777" w:rsidR="00462EBE" w:rsidRDefault="00462EBE" w:rsidP="00462EBE">
      <w:r>
        <w:t xml:space="preserve">f) ai fini della qualificazione di un'area agricola come idonea rileva la presenza di </w:t>
      </w:r>
      <w:proofErr w:type="spellStart"/>
      <w:r>
        <w:t>attivita'</w:t>
      </w:r>
      <w:proofErr w:type="spellEnd"/>
      <w:r>
        <w:t xml:space="preserve"> produttive e di aziende agricole insediate sul territorio, al fine di favorire l'autoconsumo di energia da fonti rinnovabili, anche mediante la costituzione di </w:t>
      </w:r>
      <w:proofErr w:type="spellStart"/>
      <w:r>
        <w:t>comunita'</w:t>
      </w:r>
      <w:proofErr w:type="spellEnd"/>
      <w:r>
        <w:t xml:space="preserve"> energetiche;</w:t>
      </w:r>
    </w:p>
    <w:p w14:paraId="20A37B5C" w14:textId="77777777" w:rsidR="00462EBE" w:rsidRDefault="00462EBE" w:rsidP="00462EBE">
      <w:r>
        <w:t xml:space="preserve">g) al fine di preservare la destinazione agricola dei suoli, le aree agricole qualificabili come aree idonee a livello regionale non sono inferiori allo 0,8 per cento delle superfici agricole utilizzate (SAU) </w:t>
      </w:r>
      <w:proofErr w:type="gramStart"/>
      <w:r>
        <w:t>ne'</w:t>
      </w:r>
      <w:proofErr w:type="gramEnd"/>
      <w:r>
        <w:t xml:space="preserve"> superiori al 3 per cento delle SAU medesime;</w:t>
      </w:r>
    </w:p>
    <w:p w14:paraId="3AC0424D" w14:textId="77777777" w:rsidR="00462EBE" w:rsidRDefault="00462EBE" w:rsidP="00462EBE">
      <w:r>
        <w:t>h) fermo restando quanto previsto alla lettera g), possono essere definite specifiche percentuali di sfruttamento delle SAU a livello comunale;</w:t>
      </w:r>
    </w:p>
    <w:p w14:paraId="7CBC618E" w14:textId="77777777" w:rsidR="00462EBE" w:rsidRDefault="00462EBE" w:rsidP="00462EBE">
      <w:r>
        <w:t>i) qualificare prioritariamente come idonee le aree connotate dalla presenza di poli industriali, anche al fine di agevolare l'autoconsumo e la decarbonizzazione dei settori produttivi;</w:t>
      </w:r>
    </w:p>
    <w:p w14:paraId="61F77FC4" w14:textId="77777777" w:rsidR="00462EBE" w:rsidRDefault="00462EBE" w:rsidP="00462EBE">
      <w:r>
        <w:t>l) qualificare prioritariamente come idonee le aree di crisi industriale complessa, anche allo scopo di promuovere la riconversione industriale e la salvaguardia dei livelli occupazionali;</w:t>
      </w:r>
    </w:p>
    <w:p w14:paraId="6EED73B8" w14:textId="77777777" w:rsidR="00462EBE" w:rsidRDefault="00462EBE" w:rsidP="00462EBE">
      <w:r>
        <w:t>m) allo scopo di bilanciare le esigenze di tutela dell'ambiente con quelle di tutela del patrimonio culturale e paesaggistico, le regioni non possono qualificare come idonee le aree ricomprese nel perimetro dei beni sottoposti a tutela ai sensi del Codice dei beni culturali e del paesaggio ne' quelle incluse in una fascia di rispetto di tre chilometri, nel caso di impianti eolici, e di cinquecento metri, nel caso di impianti fotovoltaici, dal perimetro dei beni medesimi, ne' identificare aree idonee ove le caratteristiche degli impianti da realizzare siano in contrasto con le norme di attuazione previste dai piani paesaggistici.</w:t>
      </w:r>
    </w:p>
    <w:p w14:paraId="43D09E5A" w14:textId="77777777" w:rsidR="00462EBE" w:rsidRDefault="00462EBE" w:rsidP="00462EBE"/>
    <w:p w14:paraId="06744750" w14:textId="77777777" w:rsidR="00462EBE" w:rsidRDefault="00462EBE" w:rsidP="00462EBE">
      <w:r>
        <w:t xml:space="preserve">5. Le leggi adottate ai sensi del comma 3 garantiscono il raggiungimento al 2030 degli obiettivi di potenza installata da fonti rinnovabili previsti dalla Tabella 1 dell'allegato C-bis. Ai fini del raggiungimento degli obiettivi ai sensi del primo periodo, le regioni e le province autonome possono stipulare tra loro accordi per il trasferimento statistico di determinate </w:t>
      </w:r>
      <w:proofErr w:type="spellStart"/>
      <w:r>
        <w:t>quantita'</w:t>
      </w:r>
      <w:proofErr w:type="spellEnd"/>
      <w:r>
        <w:t xml:space="preserve"> di potenza da fonti rinnovabili. Con decreto del direttore generale competente del Ministero dell'ambiente e della sicurezza energetica sono definiti lo schema di accordo tipo per il trasferimento statistico, </w:t>
      </w:r>
      <w:proofErr w:type="spellStart"/>
      <w:r>
        <w:t>nonche</w:t>
      </w:r>
      <w:proofErr w:type="spellEnd"/>
      <w:r>
        <w:t xml:space="preserve">' le </w:t>
      </w:r>
      <w:proofErr w:type="spellStart"/>
      <w:r>
        <w:t>modalita'</w:t>
      </w:r>
      <w:proofErr w:type="spellEnd"/>
      <w:r>
        <w:t xml:space="preserve"> di calcolo delle </w:t>
      </w:r>
      <w:proofErr w:type="spellStart"/>
      <w:r>
        <w:t>quantita'</w:t>
      </w:r>
      <w:proofErr w:type="spellEnd"/>
      <w:r>
        <w:t xml:space="preserve"> di potenza oggetto del trasferimento stesso. Nei casi di impianti da fonti rinnovabili ubicati sul territorio di </w:t>
      </w:r>
      <w:proofErr w:type="spellStart"/>
      <w:r>
        <w:t>piu'</w:t>
      </w:r>
      <w:proofErr w:type="spellEnd"/>
      <w:r>
        <w:t xml:space="preserve"> regioni o province autonome o la cui produzione sia attribuibile agli apporti di </w:t>
      </w:r>
      <w:proofErr w:type="spellStart"/>
      <w:r>
        <w:t>piu'</w:t>
      </w:r>
      <w:proofErr w:type="spellEnd"/>
      <w:r>
        <w:t xml:space="preserve"> regioni ovvero province autonome, la ripartizione delle rispettive potenze ai fini del conseguimento degli obiettivi ai sensi del primo periodo </w:t>
      </w:r>
      <w:proofErr w:type="spellStart"/>
      <w:proofErr w:type="gramStart"/>
      <w:r>
        <w:t>e'</w:t>
      </w:r>
      <w:proofErr w:type="spellEnd"/>
      <w:proofErr w:type="gramEnd"/>
      <w:r>
        <w:t xml:space="preserve"> definita mediante accordi stipulati tra ciascun ente territoriale interessato. </w:t>
      </w:r>
    </w:p>
    <w:p w14:paraId="00C0956F" w14:textId="77777777" w:rsidR="00462EBE" w:rsidRDefault="00462EBE" w:rsidP="00462EBE"/>
    <w:p w14:paraId="267D3ACE" w14:textId="35E080F9" w:rsidR="00462EBE" w:rsidRDefault="00462EBE" w:rsidP="00462EBE">
      <w:r>
        <w:lastRenderedPageBreak/>
        <w:t>6. Il Ministero dell'ambiente e della sicurezza energetica provvede, con il supporto del GSE e di Ricerca sul sistema energetico - RSE s.p.a., al monitoraggio periodico sul raggiungimento degli obiettivi di cui alla Tabella 1 dell'allegato C-bis. Gli esiti del monitoraggio di cui al primo periodo sono trasmessi, entro il 31 luglio di ciascun anno, alla piattaforma di cui all'articolo 12-bis.</w:t>
      </w:r>
    </w:p>
    <w:p w14:paraId="3DEF9BEF" w14:textId="77777777" w:rsidR="00462EBE" w:rsidRDefault="00462EBE" w:rsidP="00462EBE"/>
    <w:p w14:paraId="452AD696" w14:textId="77316B55" w:rsidR="00A83484" w:rsidRDefault="00462EBE" w:rsidP="00462EBE">
      <w:r>
        <w:t xml:space="preserve">7. Ai fini del concreto raggiungimento degli obiettivi di cui al comma 5, per consentire la celere realizzazione degli impianti e garantire la sicurezza del traffico, limitando le possibili interferenze, le </w:t>
      </w:r>
      <w:proofErr w:type="spellStart"/>
      <w:r>
        <w:t>societa'</w:t>
      </w:r>
      <w:proofErr w:type="spellEnd"/>
      <w:r>
        <w:t xml:space="preserve"> concessionarie autostradali affidano la concessione delle aree idonee di cui al comma 1, lettera e), previa determinazione dei relativi canoni, sulla base di procedure a evidenza pubblica, avviate anche su istanza di parte, con pubblicazione di un avviso, nel rispetto dei principi di trasparenza, </w:t>
      </w:r>
      <w:proofErr w:type="spellStart"/>
      <w:r>
        <w:t>imparzialita'</w:t>
      </w:r>
      <w:proofErr w:type="spellEnd"/>
      <w:r>
        <w:t xml:space="preserve"> e </w:t>
      </w:r>
      <w:proofErr w:type="spellStart"/>
      <w:r>
        <w:t>proporzionalita'</w:t>
      </w:r>
      <w:proofErr w:type="spellEnd"/>
      <w:r>
        <w:t xml:space="preserve">, garantendo condizioni di concorrenza effettiva. Gli avvisi definiscono, in modo chiaro, trasparente, proporzionato rispetto all'oggetto della concessione e non discriminatorio, i requisiti soggettivi di partecipazione e i criteri di selezione delle domande, </w:t>
      </w:r>
      <w:proofErr w:type="spellStart"/>
      <w:r>
        <w:t>nonche</w:t>
      </w:r>
      <w:proofErr w:type="spellEnd"/>
      <w:r>
        <w:t xml:space="preserve">' la durata massima delle subconcessioni ai sensi del quinto periodo. Se si verificano le condizioni di cui all'articolo 76, comma 2, lettera a), del codice di cui al decreto legislativo 31 marzo 2023, n. 36, le </w:t>
      </w:r>
      <w:proofErr w:type="spellStart"/>
      <w:r>
        <w:t>societa'</w:t>
      </w:r>
      <w:proofErr w:type="spellEnd"/>
      <w:r>
        <w:t xml:space="preserve"> concessionarie possono affidare le aree idonee di cui al comma 1, lettera e), del presente articolo mediante subconcessione, a </w:t>
      </w:r>
      <w:proofErr w:type="spellStart"/>
      <w:r>
        <w:t>societa'</w:t>
      </w:r>
      <w:proofErr w:type="spellEnd"/>
      <w:r>
        <w:t xml:space="preserve"> controllate o collegate in modo da assicurare il necessario coordinamento dei lavori sulla rete in gestione e la risoluzione delle interferenze. Le </w:t>
      </w:r>
      <w:proofErr w:type="spellStart"/>
      <w:r>
        <w:t>societa'</w:t>
      </w:r>
      <w:proofErr w:type="spellEnd"/>
      <w:r>
        <w:t xml:space="preserve"> controllate o collegate sono tenute ad affidare i lavori, i servizi e le forniture sulla base di procedure a evidenza pubblica, nel rispetto dei principi di trasparenza, </w:t>
      </w:r>
      <w:proofErr w:type="spellStart"/>
      <w:r>
        <w:t>imparzialita'</w:t>
      </w:r>
      <w:proofErr w:type="spellEnd"/>
      <w:r>
        <w:t xml:space="preserve"> e </w:t>
      </w:r>
      <w:proofErr w:type="spellStart"/>
      <w:r>
        <w:t>proporzionalita'</w:t>
      </w:r>
      <w:proofErr w:type="spellEnd"/>
      <w:r>
        <w:t xml:space="preserve">, garantendo condizioni di concorrenza effettiva. La durata dei rapporti di subconcessione </w:t>
      </w:r>
      <w:proofErr w:type="spellStart"/>
      <w:proofErr w:type="gramStart"/>
      <w:r>
        <w:t>e'</w:t>
      </w:r>
      <w:proofErr w:type="spellEnd"/>
      <w:proofErr w:type="gramEnd"/>
      <w:r>
        <w:t xml:space="preserve"> determinata in funzione della vita utile degli impianti e degli investimenti necessari per la realizzazione e gestione degli stessi e </w:t>
      </w:r>
      <w:proofErr w:type="spellStart"/>
      <w:r>
        <w:t>puo'</w:t>
      </w:r>
      <w:proofErr w:type="spellEnd"/>
      <w:r>
        <w:t xml:space="preserve"> essere superiore alla durata della concessione autostradale, salva la </w:t>
      </w:r>
      <w:proofErr w:type="spellStart"/>
      <w:r>
        <w:t>possibilita'</w:t>
      </w:r>
      <w:proofErr w:type="spellEnd"/>
      <w:r>
        <w:t xml:space="preserve"> per il concessionario che subentra nella gestione di risolvere il contratto di subconcessione riconoscendo un indennizzo pari agli investimenti realizzati non integralmente ammortizzati.</w:t>
      </w:r>
    </w:p>
    <w:sectPr w:rsidR="00A8348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EBE"/>
    <w:rsid w:val="003E079E"/>
    <w:rsid w:val="00462EBE"/>
    <w:rsid w:val="00A83484"/>
    <w:rsid w:val="00F82FC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B9C1A"/>
  <w15:chartTrackingRefBased/>
  <w15:docId w15:val="{F3B5735C-3719-4210-B670-CE14ACAF8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462E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462E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462EB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62EB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62EB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62EBE"/>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62EB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62EB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62EB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62EB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62EB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62EB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62EB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62EB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62EB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62EB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62EB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62EBE"/>
    <w:rPr>
      <w:rFonts w:eastAsiaTheme="majorEastAsia" w:cstheme="majorBidi"/>
      <w:color w:val="272727" w:themeColor="text1" w:themeTint="D8"/>
    </w:rPr>
  </w:style>
  <w:style w:type="paragraph" w:styleId="Titolo">
    <w:name w:val="Title"/>
    <w:basedOn w:val="Normale"/>
    <w:next w:val="Normale"/>
    <w:link w:val="TitoloCarattere"/>
    <w:uiPriority w:val="10"/>
    <w:qFormat/>
    <w:rsid w:val="00462E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62EB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62EB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62EB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62EB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62EBE"/>
    <w:rPr>
      <w:i/>
      <w:iCs/>
      <w:color w:val="404040" w:themeColor="text1" w:themeTint="BF"/>
    </w:rPr>
  </w:style>
  <w:style w:type="paragraph" w:styleId="Paragrafoelenco">
    <w:name w:val="List Paragraph"/>
    <w:basedOn w:val="Normale"/>
    <w:uiPriority w:val="34"/>
    <w:qFormat/>
    <w:rsid w:val="00462EBE"/>
    <w:pPr>
      <w:ind w:left="720"/>
      <w:contextualSpacing/>
    </w:pPr>
  </w:style>
  <w:style w:type="character" w:styleId="Enfasiintensa">
    <w:name w:val="Intense Emphasis"/>
    <w:basedOn w:val="Carpredefinitoparagrafo"/>
    <w:uiPriority w:val="21"/>
    <w:qFormat/>
    <w:rsid w:val="00462EBE"/>
    <w:rPr>
      <w:i/>
      <w:iCs/>
      <w:color w:val="0F4761" w:themeColor="accent1" w:themeShade="BF"/>
    </w:rPr>
  </w:style>
  <w:style w:type="paragraph" w:styleId="Citazioneintensa">
    <w:name w:val="Intense Quote"/>
    <w:basedOn w:val="Normale"/>
    <w:next w:val="Normale"/>
    <w:link w:val="CitazioneintensaCarattere"/>
    <w:uiPriority w:val="30"/>
    <w:qFormat/>
    <w:rsid w:val="00462E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62EBE"/>
    <w:rPr>
      <w:i/>
      <w:iCs/>
      <w:color w:val="0F4761" w:themeColor="accent1" w:themeShade="BF"/>
    </w:rPr>
  </w:style>
  <w:style w:type="character" w:styleId="Riferimentointenso">
    <w:name w:val="Intense Reference"/>
    <w:basedOn w:val="Carpredefinitoparagrafo"/>
    <w:uiPriority w:val="32"/>
    <w:qFormat/>
    <w:rsid w:val="00462EB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2049</Words>
  <Characters>11685</Characters>
  <Application>Microsoft Office Word</Application>
  <DocSecurity>0</DocSecurity>
  <Lines>97</Lines>
  <Paragraphs>27</Paragraphs>
  <ScaleCrop>false</ScaleCrop>
  <Company/>
  <LinksUpToDate>false</LinksUpToDate>
  <CharactersWithSpaces>13707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1</cp:revision>
  <dcterms:created xsi:type="dcterms:W3CDTF">2025-11-25T10:35:00Z</dcterms:created>
  <dcterms:modified xsi:type="dcterms:W3CDTF">2025-11-25T10:36:00Z</dcterms:modified>
</cp:coreProperties>
</file>